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3DBE" w14:textId="77777777" w:rsidR="00890A4B" w:rsidRPr="00890A4B" w:rsidRDefault="00890A4B" w:rsidP="00890A4B">
      <w:pPr>
        <w:spacing w:after="0" w:line="240" w:lineRule="auto"/>
        <w:outlineLvl w:val="1"/>
        <w:rPr>
          <w:rFonts w:ascii="Calibri" w:hAnsi="Calibri" w:cs="Calibri"/>
          <w:b/>
          <w:bCs/>
          <w:color w:val="242424"/>
          <w:sz w:val="22"/>
          <w:szCs w:val="22"/>
        </w:rPr>
      </w:pPr>
    </w:p>
    <w:p w14:paraId="26AB9E0F" w14:textId="77777777" w:rsidR="00817A42" w:rsidRPr="00890A4B" w:rsidRDefault="00817A42" w:rsidP="00890A4B">
      <w:pPr>
        <w:spacing w:after="0" w:line="240" w:lineRule="auto"/>
        <w:rPr>
          <w:rFonts w:ascii="Calibri" w:hAnsi="Calibri" w:cs="Calibri"/>
          <w:b/>
          <w:bCs/>
          <w:color w:val="242424"/>
          <w:sz w:val="22"/>
          <w:szCs w:val="22"/>
        </w:rPr>
      </w:pPr>
    </w:p>
    <w:p w14:paraId="26AF5AE1" w14:textId="191AA152" w:rsidR="00817A42" w:rsidRPr="00890A4B" w:rsidRDefault="006E4083" w:rsidP="00890A4B">
      <w:pPr>
        <w:spacing w:after="0" w:line="240" w:lineRule="auto"/>
        <w:rPr>
          <w:rFonts w:ascii="Calibri" w:hAnsi="Calibri" w:cs="Calibri"/>
          <w:color w:val="000000"/>
          <w:sz w:val="22"/>
          <w:szCs w:val="22"/>
        </w:rPr>
      </w:pPr>
      <w:r w:rsidRPr="006E4083">
        <w:rPr>
          <w:b/>
          <w:bCs/>
          <w:color w:val="000000"/>
          <w:sz w:val="22"/>
          <w:szCs w:val="22"/>
        </w:rPr>
        <w:t>Healthy Vision Starts with a Check-Up</w:t>
      </w:r>
      <w:r w:rsidR="00817A42" w:rsidRPr="00890A4B">
        <w:rPr>
          <w:rFonts w:ascii="Calibri" w:hAnsi="Calibri" w:cs="Calibri"/>
          <w:color w:val="000000"/>
          <w:sz w:val="22"/>
          <w:szCs w:val="22"/>
        </w:rPr>
        <w:br/>
      </w:r>
      <w:r w:rsidR="00817A42" w:rsidRPr="00890A4B">
        <w:rPr>
          <w:rStyle w:val="Emphasis"/>
          <w:rFonts w:ascii="Calibri" w:hAnsi="Calibri" w:cs="Calibri"/>
          <w:color w:val="000000"/>
          <w:sz w:val="22"/>
          <w:szCs w:val="22"/>
        </w:rPr>
        <w:t>Brought to you by CooperVision</w:t>
      </w:r>
      <w:r>
        <w:rPr>
          <w:rStyle w:val="Emphasis"/>
          <w:rFonts w:ascii="Calibri" w:hAnsi="Calibri" w:cs="Calibri"/>
          <w:color w:val="000000"/>
          <w:sz w:val="22"/>
          <w:szCs w:val="22"/>
        </w:rPr>
        <w:t xml:space="preserve"> ANZ</w:t>
      </w:r>
      <w:r w:rsidR="00817A42" w:rsidRPr="00890A4B">
        <w:rPr>
          <w:rStyle w:val="Emphasis"/>
          <w:rFonts w:ascii="Calibri" w:hAnsi="Calibri" w:cs="Calibri"/>
          <w:color w:val="000000"/>
          <w:sz w:val="22"/>
          <w:szCs w:val="22"/>
        </w:rPr>
        <w:t>, supporting healthy vision for Australian children.</w:t>
      </w:r>
    </w:p>
    <w:p w14:paraId="1041E2FA" w14:textId="77777777" w:rsidR="00890A4B" w:rsidRDefault="00890A4B" w:rsidP="00890A4B">
      <w:pPr>
        <w:spacing w:after="0" w:line="240" w:lineRule="auto"/>
        <w:rPr>
          <w:rFonts w:ascii="Calibri" w:hAnsi="Calibri" w:cs="Calibri"/>
          <w:color w:val="000000"/>
          <w:sz w:val="22"/>
          <w:szCs w:val="22"/>
        </w:rPr>
      </w:pPr>
    </w:p>
    <w:p w14:paraId="303E33B2" w14:textId="7BCAEE0C"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 xml:space="preserve">Just as brushing teeth, washing hands, and staying active are part of your child’s routine, booking regular eye </w:t>
      </w:r>
      <w:r w:rsidR="00890A4B">
        <w:rPr>
          <w:rFonts w:ascii="Calibri" w:hAnsi="Calibri" w:cs="Calibri"/>
          <w:color w:val="000000"/>
          <w:sz w:val="22"/>
          <w:szCs w:val="22"/>
        </w:rPr>
        <w:t>examinations</w:t>
      </w:r>
      <w:r w:rsidRPr="00890A4B">
        <w:rPr>
          <w:rFonts w:ascii="Calibri" w:hAnsi="Calibri" w:cs="Calibri"/>
          <w:color w:val="000000"/>
          <w:sz w:val="22"/>
          <w:szCs w:val="22"/>
        </w:rPr>
        <w:t xml:space="preserve"> should be too. Vision problems can develop gradually, and children may not even realise there’s an issue—making it all the more important for parents to know the signs and act early.</w:t>
      </w:r>
    </w:p>
    <w:p w14:paraId="18541A6F" w14:textId="77777777" w:rsidR="00890A4B" w:rsidRDefault="00890A4B" w:rsidP="00890A4B">
      <w:pPr>
        <w:pStyle w:val="Heading3"/>
        <w:spacing w:before="0" w:after="0" w:line="240" w:lineRule="auto"/>
        <w:rPr>
          <w:rFonts w:ascii="Calibri" w:hAnsi="Calibri" w:cs="Calibri"/>
          <w:color w:val="000000"/>
          <w:sz w:val="22"/>
          <w:szCs w:val="22"/>
        </w:rPr>
      </w:pPr>
    </w:p>
    <w:p w14:paraId="729AFADE" w14:textId="43045595" w:rsidR="00890A4B" w:rsidRPr="00890A4B" w:rsidRDefault="00817A42" w:rsidP="00890A4B">
      <w:pPr>
        <w:pStyle w:val="Heading3"/>
        <w:spacing w:before="0" w:after="0" w:line="240" w:lineRule="auto"/>
        <w:rPr>
          <w:rFonts w:ascii="Calibri" w:hAnsi="Calibri" w:cs="Calibri"/>
          <w:b/>
          <w:bCs/>
          <w:color w:val="000000"/>
          <w:sz w:val="22"/>
          <w:szCs w:val="22"/>
        </w:rPr>
      </w:pPr>
      <w:r w:rsidRPr="00890A4B">
        <w:rPr>
          <w:rFonts w:ascii="Calibri" w:hAnsi="Calibri" w:cs="Calibri"/>
          <w:b/>
          <w:bCs/>
          <w:color w:val="000000"/>
          <w:sz w:val="22"/>
          <w:szCs w:val="22"/>
        </w:rPr>
        <w:t>What to look out for when it’s time for a check-up</w:t>
      </w:r>
    </w:p>
    <w:p w14:paraId="2BB82F42" w14:textId="6F102281"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 xml:space="preserve">There are several signs that could indicate your child needs an eye </w:t>
      </w:r>
      <w:r w:rsidR="00890A4B">
        <w:rPr>
          <w:rFonts w:ascii="Calibri" w:hAnsi="Calibri" w:cs="Calibri"/>
          <w:color w:val="000000"/>
          <w:sz w:val="22"/>
          <w:szCs w:val="22"/>
        </w:rPr>
        <w:t>examination</w:t>
      </w:r>
      <w:r w:rsidRPr="00890A4B">
        <w:rPr>
          <w:rFonts w:ascii="Calibri" w:hAnsi="Calibri" w:cs="Calibri"/>
          <w:color w:val="000000"/>
          <w:sz w:val="22"/>
          <w:szCs w:val="22"/>
        </w:rPr>
        <w:t>:</w:t>
      </w:r>
    </w:p>
    <w:p w14:paraId="53F9C281" w14:textId="77777777" w:rsidR="00817A42" w:rsidRPr="00890A4B" w:rsidRDefault="00817A42" w:rsidP="00890A4B">
      <w:pPr>
        <w:numPr>
          <w:ilvl w:val="0"/>
          <w:numId w:val="11"/>
        </w:numPr>
        <w:spacing w:after="0" w:line="240" w:lineRule="auto"/>
        <w:rPr>
          <w:rFonts w:ascii="Calibri" w:hAnsi="Calibri" w:cs="Calibri"/>
          <w:color w:val="000000"/>
          <w:sz w:val="22"/>
          <w:szCs w:val="22"/>
        </w:rPr>
      </w:pPr>
      <w:r w:rsidRPr="00890A4B">
        <w:rPr>
          <w:rFonts w:ascii="Calibri" w:hAnsi="Calibri" w:cs="Calibri"/>
          <w:color w:val="000000"/>
          <w:sz w:val="22"/>
          <w:szCs w:val="22"/>
        </w:rPr>
        <w:t>Complaints of blurry vision, tired eyes, or headaches — all of which may point to eye strain or visual fatigue.</w:t>
      </w:r>
    </w:p>
    <w:p w14:paraId="2FA7AC4D" w14:textId="77777777" w:rsidR="00817A42" w:rsidRPr="00890A4B" w:rsidRDefault="00817A42" w:rsidP="00890A4B">
      <w:pPr>
        <w:numPr>
          <w:ilvl w:val="0"/>
          <w:numId w:val="11"/>
        </w:numPr>
        <w:spacing w:after="0" w:line="240" w:lineRule="auto"/>
        <w:rPr>
          <w:rFonts w:ascii="Calibri" w:hAnsi="Calibri" w:cs="Calibri"/>
          <w:color w:val="000000"/>
          <w:sz w:val="22"/>
          <w:szCs w:val="22"/>
        </w:rPr>
      </w:pPr>
      <w:r w:rsidRPr="00890A4B">
        <w:rPr>
          <w:rFonts w:ascii="Calibri" w:hAnsi="Calibri" w:cs="Calibri"/>
          <w:color w:val="000000"/>
          <w:sz w:val="22"/>
          <w:szCs w:val="22"/>
        </w:rPr>
        <w:t>Holding books too close or sitting near screens or whiteboards could signal they’re struggling to see clearly.</w:t>
      </w:r>
    </w:p>
    <w:p w14:paraId="4E89CCDB" w14:textId="77777777" w:rsidR="00817A42" w:rsidRPr="00890A4B" w:rsidRDefault="00817A42" w:rsidP="00890A4B">
      <w:pPr>
        <w:numPr>
          <w:ilvl w:val="0"/>
          <w:numId w:val="11"/>
        </w:numPr>
        <w:spacing w:after="0" w:line="240" w:lineRule="auto"/>
        <w:rPr>
          <w:rFonts w:ascii="Calibri" w:hAnsi="Calibri" w:cs="Calibri"/>
          <w:color w:val="000000"/>
          <w:sz w:val="22"/>
          <w:szCs w:val="22"/>
        </w:rPr>
      </w:pPr>
      <w:r w:rsidRPr="00890A4B">
        <w:rPr>
          <w:rFonts w:ascii="Calibri" w:hAnsi="Calibri" w:cs="Calibri"/>
          <w:color w:val="000000"/>
          <w:sz w:val="22"/>
          <w:szCs w:val="22"/>
        </w:rPr>
        <w:t>Trouble concentrating or a drop in academic performance may relate to uncorrected vision problems.</w:t>
      </w:r>
    </w:p>
    <w:p w14:paraId="1784C0F5" w14:textId="77777777" w:rsidR="00817A42" w:rsidRPr="00890A4B" w:rsidRDefault="00817A42" w:rsidP="00890A4B">
      <w:pPr>
        <w:numPr>
          <w:ilvl w:val="0"/>
          <w:numId w:val="11"/>
        </w:numPr>
        <w:spacing w:after="0" w:line="240" w:lineRule="auto"/>
        <w:rPr>
          <w:rFonts w:ascii="Calibri" w:hAnsi="Calibri" w:cs="Calibri"/>
          <w:color w:val="000000"/>
          <w:sz w:val="22"/>
          <w:szCs w:val="22"/>
        </w:rPr>
      </w:pPr>
      <w:r w:rsidRPr="00890A4B">
        <w:rPr>
          <w:rFonts w:ascii="Calibri" w:hAnsi="Calibri" w:cs="Calibri"/>
          <w:color w:val="000000"/>
          <w:sz w:val="22"/>
          <w:szCs w:val="22"/>
        </w:rPr>
        <w:t>A family history of short-sightedness (myopia) increases the likelihood that your child will also develop it.</w:t>
      </w:r>
    </w:p>
    <w:p w14:paraId="69FEAEDD" w14:textId="77777777" w:rsidR="00890A4B" w:rsidRDefault="00890A4B" w:rsidP="00890A4B">
      <w:pPr>
        <w:spacing w:after="0" w:line="240" w:lineRule="auto"/>
        <w:rPr>
          <w:rFonts w:ascii="Calibri" w:hAnsi="Calibri" w:cs="Calibri"/>
          <w:color w:val="000000"/>
          <w:sz w:val="22"/>
          <w:szCs w:val="22"/>
        </w:rPr>
      </w:pPr>
    </w:p>
    <w:p w14:paraId="5AEB30D9" w14:textId="04C095C6"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 xml:space="preserve">Eye </w:t>
      </w:r>
      <w:r w:rsidR="00890A4B">
        <w:rPr>
          <w:rFonts w:ascii="Calibri" w:hAnsi="Calibri" w:cs="Calibri"/>
          <w:color w:val="000000"/>
          <w:sz w:val="22"/>
          <w:szCs w:val="22"/>
        </w:rPr>
        <w:t>examinations</w:t>
      </w:r>
      <w:r w:rsidRPr="00890A4B">
        <w:rPr>
          <w:rFonts w:ascii="Calibri" w:hAnsi="Calibri" w:cs="Calibri"/>
          <w:color w:val="000000"/>
          <w:sz w:val="22"/>
          <w:szCs w:val="22"/>
        </w:rPr>
        <w:t xml:space="preserve"> can catch problems early, even before symptoms appear — especially important for conditions like myopia, which can progress quickly if left unchecked.</w:t>
      </w:r>
    </w:p>
    <w:p w14:paraId="601B069F" w14:textId="77777777" w:rsidR="00890A4B" w:rsidRDefault="00890A4B" w:rsidP="00890A4B">
      <w:pPr>
        <w:pStyle w:val="Heading3"/>
        <w:spacing w:before="0" w:after="0" w:line="240" w:lineRule="auto"/>
        <w:rPr>
          <w:rFonts w:ascii="Calibri" w:hAnsi="Calibri" w:cs="Calibri"/>
          <w:color w:val="000000"/>
          <w:sz w:val="22"/>
          <w:szCs w:val="22"/>
        </w:rPr>
      </w:pPr>
    </w:p>
    <w:p w14:paraId="0BBDD75E" w14:textId="6A873577" w:rsidR="00817A42" w:rsidRPr="00890A4B" w:rsidRDefault="00817A42" w:rsidP="00890A4B">
      <w:pPr>
        <w:pStyle w:val="Heading3"/>
        <w:spacing w:before="0" w:after="0" w:line="240" w:lineRule="auto"/>
        <w:rPr>
          <w:rFonts w:ascii="Calibri" w:hAnsi="Calibri" w:cs="Calibri"/>
          <w:b/>
          <w:bCs/>
          <w:color w:val="000000"/>
          <w:sz w:val="22"/>
          <w:szCs w:val="22"/>
        </w:rPr>
      </w:pPr>
      <w:r w:rsidRPr="00890A4B">
        <w:rPr>
          <w:rFonts w:ascii="Calibri" w:hAnsi="Calibri" w:cs="Calibri"/>
          <w:b/>
          <w:bCs/>
          <w:color w:val="000000"/>
          <w:sz w:val="22"/>
          <w:szCs w:val="22"/>
        </w:rPr>
        <w:t>What is myopia?</w:t>
      </w:r>
    </w:p>
    <w:p w14:paraId="594AE672" w14:textId="2ACB179F" w:rsid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 xml:space="preserve">Myopia, also known as short-sightedness, makes it difficult to see distant objects clearly. It’s caused by the eye growing too long from front to back, so light doesn’t focus correctly on the retina. Over time, this stretching </w:t>
      </w:r>
      <w:r w:rsidR="00BE4E42" w:rsidRPr="00BE4E42">
        <w:rPr>
          <w:rFonts w:ascii="Calibri" w:hAnsi="Calibri" w:cs="Calibri"/>
          <w:color w:val="000000"/>
          <w:sz w:val="22"/>
          <w:szCs w:val="22"/>
        </w:rPr>
        <w:t>increases the risk to eye health later in life</w:t>
      </w:r>
      <w:r w:rsidR="000536BA">
        <w:rPr>
          <w:rFonts w:ascii="Calibri" w:hAnsi="Calibri" w:cs="Calibri"/>
          <w:color w:val="000000"/>
          <w:sz w:val="22"/>
          <w:szCs w:val="22"/>
        </w:rPr>
        <w:t>.</w:t>
      </w:r>
    </w:p>
    <w:p w14:paraId="128A9A1F" w14:textId="77777777" w:rsidR="000536BA" w:rsidRDefault="000536BA" w:rsidP="00890A4B">
      <w:pPr>
        <w:spacing w:after="0" w:line="240" w:lineRule="auto"/>
        <w:rPr>
          <w:rFonts w:ascii="Calibri" w:hAnsi="Calibri" w:cs="Calibri"/>
          <w:color w:val="000000"/>
          <w:sz w:val="22"/>
          <w:szCs w:val="22"/>
        </w:rPr>
      </w:pPr>
    </w:p>
    <w:p w14:paraId="35ACC93D" w14:textId="4D8BCE21"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The World Health Organization estimates that by 2050, more than half the global population will have myopia, with 10% expected to develop high myopia (defined as -5.00 diopt</w:t>
      </w:r>
      <w:r w:rsidR="00F17147">
        <w:rPr>
          <w:rFonts w:ascii="Calibri" w:hAnsi="Calibri" w:cs="Calibri"/>
          <w:color w:val="000000"/>
          <w:sz w:val="22"/>
          <w:szCs w:val="22"/>
        </w:rPr>
        <w:t>res</w:t>
      </w:r>
      <w:r w:rsidRPr="00890A4B">
        <w:rPr>
          <w:rFonts w:ascii="Calibri" w:hAnsi="Calibri" w:cs="Calibri"/>
          <w:color w:val="000000"/>
          <w:sz w:val="22"/>
          <w:szCs w:val="22"/>
        </w:rPr>
        <w:t xml:space="preserve"> or more).</w:t>
      </w:r>
      <w:r w:rsidR="00890A4B">
        <w:rPr>
          <w:rStyle w:val="FootnoteReference"/>
          <w:rFonts w:ascii="Calibri" w:hAnsi="Calibri" w:cs="Calibri"/>
          <w:color w:val="000000"/>
          <w:sz w:val="22"/>
          <w:szCs w:val="22"/>
        </w:rPr>
        <w:footnoteReference w:id="1"/>
      </w:r>
    </w:p>
    <w:p w14:paraId="4E70D618" w14:textId="77777777" w:rsidR="00890A4B" w:rsidRDefault="00890A4B" w:rsidP="00890A4B">
      <w:pPr>
        <w:pStyle w:val="Heading3"/>
        <w:spacing w:before="0" w:after="0" w:line="240" w:lineRule="auto"/>
        <w:rPr>
          <w:rFonts w:ascii="Calibri" w:hAnsi="Calibri" w:cs="Calibri"/>
          <w:color w:val="000000"/>
          <w:sz w:val="22"/>
          <w:szCs w:val="22"/>
        </w:rPr>
      </w:pPr>
    </w:p>
    <w:p w14:paraId="40B0FC7B" w14:textId="07D9ED4A" w:rsidR="00817A42" w:rsidRPr="00890A4B" w:rsidRDefault="00817A42" w:rsidP="00890A4B">
      <w:pPr>
        <w:pStyle w:val="Heading3"/>
        <w:spacing w:before="0" w:after="0" w:line="240" w:lineRule="auto"/>
        <w:rPr>
          <w:rFonts w:ascii="Calibri" w:hAnsi="Calibri" w:cs="Calibri"/>
          <w:b/>
          <w:bCs/>
          <w:color w:val="000000"/>
          <w:sz w:val="22"/>
          <w:szCs w:val="22"/>
        </w:rPr>
      </w:pPr>
      <w:r w:rsidRPr="00890A4B">
        <w:rPr>
          <w:rFonts w:ascii="Calibri" w:hAnsi="Calibri" w:cs="Calibri"/>
          <w:b/>
          <w:bCs/>
          <w:color w:val="000000"/>
          <w:sz w:val="22"/>
          <w:szCs w:val="22"/>
        </w:rPr>
        <w:t>Why early action matters</w:t>
      </w:r>
    </w:p>
    <w:p w14:paraId="60D2D3EC" w14:textId="3AAB7208"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While myopia can’t be reversed, it can be managed — and that’s where early detection is vital. The earlier a child’s vision changes are detected, the sooner a tailored management plan can be put in place. Delaying treatment could mean greater progression, more complex correction needs, and increased long-term risk.</w:t>
      </w:r>
      <w:r w:rsidR="00890A4B">
        <w:rPr>
          <w:rStyle w:val="FootnoteReference"/>
          <w:rFonts w:ascii="Calibri" w:hAnsi="Calibri" w:cs="Calibri"/>
          <w:color w:val="000000"/>
          <w:sz w:val="22"/>
          <w:szCs w:val="22"/>
        </w:rPr>
        <w:footnoteReference w:id="2"/>
      </w:r>
    </w:p>
    <w:p w14:paraId="7346C575" w14:textId="77777777" w:rsidR="00890A4B" w:rsidRDefault="00890A4B" w:rsidP="00890A4B">
      <w:pPr>
        <w:spacing w:after="0" w:line="240" w:lineRule="auto"/>
        <w:rPr>
          <w:rFonts w:ascii="Calibri" w:hAnsi="Calibri" w:cs="Calibri"/>
          <w:color w:val="000000"/>
          <w:sz w:val="22"/>
          <w:szCs w:val="22"/>
        </w:rPr>
      </w:pPr>
    </w:p>
    <w:p w14:paraId="1318EB64" w14:textId="0079EFB1"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Unfortunately, awareness remains low. Research shows 40% of New Zealand children haven’t seen an optometrist before age nine — and in Australia, fewer than 1% of parents recognised outdoor time or screen reduction as helpful in managing myopia.</w:t>
      </w:r>
      <w:r w:rsidR="00890A4B">
        <w:rPr>
          <w:rStyle w:val="FootnoteReference"/>
          <w:rFonts w:ascii="Calibri" w:hAnsi="Calibri" w:cs="Calibri"/>
          <w:color w:val="000000"/>
          <w:sz w:val="22"/>
          <w:szCs w:val="22"/>
        </w:rPr>
        <w:footnoteReference w:id="3"/>
      </w:r>
    </w:p>
    <w:p w14:paraId="3A430892" w14:textId="77777777" w:rsidR="00890A4B" w:rsidRDefault="00890A4B" w:rsidP="00890A4B">
      <w:pPr>
        <w:pStyle w:val="Heading3"/>
        <w:spacing w:before="0" w:after="0" w:line="240" w:lineRule="auto"/>
        <w:rPr>
          <w:rFonts w:ascii="Calibri" w:hAnsi="Calibri" w:cs="Calibri"/>
          <w:color w:val="000000"/>
          <w:sz w:val="22"/>
          <w:szCs w:val="22"/>
        </w:rPr>
      </w:pPr>
    </w:p>
    <w:p w14:paraId="3E0B08F6" w14:textId="7D121881" w:rsidR="00817A42" w:rsidRPr="00890A4B" w:rsidRDefault="00817A42" w:rsidP="00890A4B">
      <w:pPr>
        <w:pStyle w:val="Heading3"/>
        <w:spacing w:before="0" w:after="0" w:line="240" w:lineRule="auto"/>
        <w:rPr>
          <w:rFonts w:ascii="Calibri" w:hAnsi="Calibri" w:cs="Calibri"/>
          <w:b/>
          <w:bCs/>
          <w:color w:val="000000"/>
          <w:sz w:val="22"/>
          <w:szCs w:val="22"/>
        </w:rPr>
      </w:pPr>
      <w:r w:rsidRPr="00890A4B">
        <w:rPr>
          <w:rFonts w:ascii="Calibri" w:hAnsi="Calibri" w:cs="Calibri"/>
          <w:b/>
          <w:bCs/>
          <w:color w:val="000000"/>
          <w:sz w:val="22"/>
          <w:szCs w:val="22"/>
        </w:rPr>
        <w:t>What parents can do</w:t>
      </w:r>
    </w:p>
    <w:p w14:paraId="48639098" w14:textId="77777777"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Fortunately, parents can take steps at home that may help reduce the risk of myopia developing or worsening:</w:t>
      </w:r>
    </w:p>
    <w:p w14:paraId="2EAEFF25" w14:textId="6503CC7F" w:rsidR="00817A42" w:rsidRPr="00890A4B" w:rsidRDefault="00817A42" w:rsidP="00890A4B">
      <w:pPr>
        <w:numPr>
          <w:ilvl w:val="0"/>
          <w:numId w:val="12"/>
        </w:numPr>
        <w:spacing w:after="0" w:line="240" w:lineRule="auto"/>
        <w:rPr>
          <w:rFonts w:ascii="Calibri" w:hAnsi="Calibri" w:cs="Calibri"/>
          <w:color w:val="000000"/>
          <w:sz w:val="22"/>
          <w:szCs w:val="22"/>
        </w:rPr>
      </w:pPr>
      <w:r w:rsidRPr="00890A4B">
        <w:rPr>
          <w:rStyle w:val="Strong"/>
          <w:rFonts w:ascii="Calibri" w:hAnsi="Calibri" w:cs="Calibri"/>
          <w:color w:val="000000"/>
          <w:sz w:val="22"/>
          <w:szCs w:val="22"/>
        </w:rPr>
        <w:lastRenderedPageBreak/>
        <w:t>Encourage outdoor play</w:t>
      </w:r>
      <w:r w:rsidRPr="00890A4B">
        <w:rPr>
          <w:rFonts w:ascii="Calibri" w:hAnsi="Calibri" w:cs="Calibri"/>
          <w:color w:val="000000"/>
          <w:sz w:val="22"/>
          <w:szCs w:val="22"/>
        </w:rPr>
        <w:t xml:space="preserve">: </w:t>
      </w:r>
      <w:r w:rsidR="0017066F" w:rsidRPr="0017066F">
        <w:rPr>
          <w:rFonts w:ascii="Calibri" w:hAnsi="Calibri" w:cs="Calibri"/>
          <w:color w:val="000000"/>
          <w:sz w:val="22"/>
          <w:szCs w:val="22"/>
        </w:rPr>
        <w:t>Outdoor time plays a proven role in reducing the risk of developing myopia</w:t>
      </w:r>
      <w:r w:rsidR="0017066F">
        <w:rPr>
          <w:rFonts w:ascii="Calibri" w:hAnsi="Calibri" w:cs="Calibri"/>
          <w:color w:val="000000"/>
          <w:sz w:val="22"/>
          <w:szCs w:val="22"/>
        </w:rPr>
        <w:t xml:space="preserve">. </w:t>
      </w:r>
      <w:r w:rsidR="00AC354E" w:rsidRPr="007C08B5">
        <w:rPr>
          <w:rFonts w:ascii="Calibri" w:hAnsi="Calibri" w:cs="Calibri"/>
          <w:color w:val="000000"/>
          <w:sz w:val="22"/>
          <w:szCs w:val="22"/>
        </w:rPr>
        <w:t>Studies suggest that spending at least two hours per day outside helps regulate healthy eye growth and may delay or reduce the onset of myopia.</w:t>
      </w:r>
      <w:r w:rsidR="00AC354E">
        <w:rPr>
          <w:rStyle w:val="FootnoteReference"/>
          <w:color w:val="000000"/>
        </w:rPr>
        <w:footnoteReference w:id="4"/>
      </w:r>
      <w:r w:rsidR="0017066F">
        <w:rPr>
          <w:rFonts w:ascii="Calibri" w:hAnsi="Calibri" w:cs="Calibri"/>
          <w:color w:val="000000"/>
          <w:sz w:val="22"/>
          <w:szCs w:val="22"/>
        </w:rPr>
        <w:t xml:space="preserve"> </w:t>
      </w:r>
      <w:r w:rsidR="0017066F">
        <w:rPr>
          <w:rStyle w:val="FootnoteReference"/>
          <w:rFonts w:ascii="Calibri" w:hAnsi="Calibri" w:cs="Calibri"/>
          <w:color w:val="000000"/>
          <w:sz w:val="22"/>
          <w:szCs w:val="22"/>
        </w:rPr>
        <w:footnoteReference w:id="5"/>
      </w:r>
    </w:p>
    <w:p w14:paraId="0A7F05D0" w14:textId="279B5FDC" w:rsidR="00817A42" w:rsidRPr="00890A4B" w:rsidRDefault="00817A42" w:rsidP="00890A4B">
      <w:pPr>
        <w:numPr>
          <w:ilvl w:val="0"/>
          <w:numId w:val="12"/>
        </w:numPr>
        <w:spacing w:after="0" w:line="240" w:lineRule="auto"/>
        <w:rPr>
          <w:rFonts w:ascii="Calibri" w:hAnsi="Calibri" w:cs="Calibri"/>
          <w:color w:val="000000"/>
          <w:sz w:val="22"/>
          <w:szCs w:val="22"/>
        </w:rPr>
      </w:pPr>
      <w:r w:rsidRPr="00890A4B">
        <w:rPr>
          <w:rStyle w:val="Strong"/>
          <w:rFonts w:ascii="Calibri" w:hAnsi="Calibri" w:cs="Calibri"/>
          <w:color w:val="000000"/>
          <w:sz w:val="22"/>
          <w:szCs w:val="22"/>
        </w:rPr>
        <w:t>Manage screen time and near work</w:t>
      </w:r>
      <w:r w:rsidRPr="00890A4B">
        <w:rPr>
          <w:rFonts w:ascii="Calibri" w:hAnsi="Calibri" w:cs="Calibri"/>
          <w:color w:val="000000"/>
          <w:sz w:val="22"/>
          <w:szCs w:val="22"/>
        </w:rPr>
        <w:t>: Freq</w:t>
      </w:r>
      <w:r w:rsidR="00890A4B">
        <w:rPr>
          <w:rFonts w:ascii="Calibri" w:hAnsi="Calibri" w:cs="Calibri"/>
          <w:color w:val="000000"/>
          <w:sz w:val="22"/>
          <w:szCs w:val="22"/>
        </w:rPr>
        <w:t>u</w:t>
      </w:r>
      <w:r w:rsidRPr="00890A4B">
        <w:rPr>
          <w:rFonts w:ascii="Calibri" w:hAnsi="Calibri" w:cs="Calibri"/>
          <w:color w:val="000000"/>
          <w:sz w:val="22"/>
          <w:szCs w:val="22"/>
        </w:rPr>
        <w:t>ent breaks during close-up tasks can reduce eye strain and potentially slow progression.</w:t>
      </w:r>
      <w:r w:rsidR="00890A4B">
        <w:rPr>
          <w:rStyle w:val="FootnoteReference"/>
          <w:rFonts w:ascii="Calibri" w:hAnsi="Calibri" w:cs="Calibri"/>
          <w:color w:val="000000"/>
          <w:sz w:val="22"/>
          <w:szCs w:val="22"/>
        </w:rPr>
        <w:footnoteReference w:id="6"/>
      </w:r>
    </w:p>
    <w:p w14:paraId="460EA819" w14:textId="11F19CA0" w:rsidR="00817A42" w:rsidRPr="00890A4B" w:rsidRDefault="00817A42" w:rsidP="00890A4B">
      <w:pPr>
        <w:numPr>
          <w:ilvl w:val="0"/>
          <w:numId w:val="12"/>
        </w:numPr>
        <w:spacing w:after="0" w:line="240" w:lineRule="auto"/>
        <w:rPr>
          <w:rFonts w:ascii="Calibri" w:hAnsi="Calibri" w:cs="Calibri"/>
          <w:color w:val="000000"/>
          <w:sz w:val="22"/>
          <w:szCs w:val="22"/>
        </w:rPr>
      </w:pPr>
      <w:r w:rsidRPr="00890A4B">
        <w:rPr>
          <w:rStyle w:val="Strong"/>
          <w:rFonts w:ascii="Calibri" w:hAnsi="Calibri" w:cs="Calibri"/>
          <w:color w:val="000000"/>
          <w:sz w:val="22"/>
          <w:szCs w:val="22"/>
        </w:rPr>
        <w:t>Schedule regular eye exam</w:t>
      </w:r>
      <w:r w:rsidR="00890A4B">
        <w:rPr>
          <w:rStyle w:val="Strong"/>
          <w:rFonts w:ascii="Calibri" w:hAnsi="Calibri" w:cs="Calibri"/>
          <w:color w:val="000000"/>
          <w:sz w:val="22"/>
          <w:szCs w:val="22"/>
        </w:rPr>
        <w:t>ination</w:t>
      </w:r>
      <w:r w:rsidRPr="00890A4B">
        <w:rPr>
          <w:rStyle w:val="Strong"/>
          <w:rFonts w:ascii="Calibri" w:hAnsi="Calibri" w:cs="Calibri"/>
          <w:color w:val="000000"/>
          <w:sz w:val="22"/>
          <w:szCs w:val="22"/>
        </w:rPr>
        <w:t>s</w:t>
      </w:r>
      <w:r w:rsidRPr="00890A4B">
        <w:rPr>
          <w:rFonts w:ascii="Calibri" w:hAnsi="Calibri" w:cs="Calibri"/>
          <w:color w:val="000000"/>
          <w:sz w:val="22"/>
          <w:szCs w:val="22"/>
        </w:rPr>
        <w:t xml:space="preserve">: Don’t wait for symptoms — make eye </w:t>
      </w:r>
      <w:r w:rsidR="00F17147">
        <w:rPr>
          <w:rFonts w:ascii="Calibri" w:hAnsi="Calibri" w:cs="Calibri"/>
          <w:color w:val="000000"/>
          <w:sz w:val="22"/>
          <w:szCs w:val="22"/>
        </w:rPr>
        <w:t>examinations</w:t>
      </w:r>
      <w:r w:rsidRPr="00890A4B">
        <w:rPr>
          <w:rFonts w:ascii="Calibri" w:hAnsi="Calibri" w:cs="Calibri"/>
          <w:color w:val="000000"/>
          <w:sz w:val="22"/>
          <w:szCs w:val="22"/>
        </w:rPr>
        <w:t xml:space="preserve"> part of your family’s preventive health routine.</w:t>
      </w:r>
    </w:p>
    <w:p w14:paraId="51506AA7" w14:textId="77777777" w:rsidR="00890A4B" w:rsidRDefault="00890A4B" w:rsidP="00890A4B">
      <w:pPr>
        <w:spacing w:after="0" w:line="240" w:lineRule="auto"/>
        <w:rPr>
          <w:rFonts w:ascii="Calibri" w:hAnsi="Calibri" w:cs="Calibri"/>
          <w:color w:val="000000"/>
          <w:sz w:val="22"/>
          <w:szCs w:val="22"/>
        </w:rPr>
      </w:pPr>
    </w:p>
    <w:p w14:paraId="3B538F04" w14:textId="38AC9EAF"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Spectacles aren’t always the only solution. Optometrists now offer a range of myopia control options, including specially designed lenses and contact lenses that have been shown to slow progression. It’s important to speak with your optometrist about the best approach for your child.</w:t>
      </w:r>
    </w:p>
    <w:p w14:paraId="638DA6A3" w14:textId="77777777" w:rsidR="00890A4B" w:rsidRDefault="00890A4B" w:rsidP="00890A4B">
      <w:pPr>
        <w:spacing w:after="0" w:line="240" w:lineRule="auto"/>
        <w:rPr>
          <w:rFonts w:ascii="Calibri" w:hAnsi="Calibri" w:cs="Calibri"/>
          <w:color w:val="000000"/>
          <w:sz w:val="22"/>
          <w:szCs w:val="22"/>
        </w:rPr>
      </w:pPr>
    </w:p>
    <w:p w14:paraId="0FA24E52" w14:textId="40ED2FFB" w:rsidR="00817A42" w:rsidRPr="00890A4B" w:rsidRDefault="00817A42" w:rsidP="00890A4B">
      <w:pPr>
        <w:spacing w:after="0" w:line="240" w:lineRule="auto"/>
        <w:rPr>
          <w:rFonts w:ascii="Calibri" w:hAnsi="Calibri" w:cs="Calibri"/>
          <w:color w:val="000000"/>
          <w:sz w:val="22"/>
          <w:szCs w:val="22"/>
        </w:rPr>
      </w:pPr>
      <w:r w:rsidRPr="00890A4B">
        <w:rPr>
          <w:rFonts w:ascii="Calibri" w:hAnsi="Calibri" w:cs="Calibri"/>
          <w:color w:val="000000"/>
          <w:sz w:val="22"/>
          <w:szCs w:val="22"/>
        </w:rPr>
        <w:t>To learn more visit</w:t>
      </w:r>
      <w:r w:rsidRPr="00890A4B">
        <w:rPr>
          <w:rStyle w:val="apple-converted-space"/>
          <w:rFonts w:ascii="Calibri" w:hAnsi="Calibri" w:cs="Calibri"/>
          <w:color w:val="000000"/>
          <w:sz w:val="22"/>
          <w:szCs w:val="22"/>
        </w:rPr>
        <w:t> </w:t>
      </w:r>
      <w:hyperlink r:id="rId7" w:tgtFrame="_new" w:history="1">
        <w:r w:rsidRPr="00890A4B">
          <w:rPr>
            <w:rStyle w:val="Hyperlink"/>
            <w:rFonts w:ascii="Calibri" w:hAnsi="Calibri" w:cs="Calibri"/>
            <w:sz w:val="22"/>
            <w:szCs w:val="22"/>
          </w:rPr>
          <w:t>www.childmyopia.com</w:t>
        </w:r>
      </w:hyperlink>
      <w:r w:rsidRPr="00890A4B">
        <w:rPr>
          <w:rFonts w:ascii="Calibri" w:hAnsi="Calibri" w:cs="Calibri"/>
          <w:color w:val="000000"/>
          <w:sz w:val="22"/>
          <w:szCs w:val="22"/>
        </w:rPr>
        <w:t>.</w:t>
      </w:r>
    </w:p>
    <w:p w14:paraId="60A3464D" w14:textId="2F99BDEC" w:rsidR="00817A42" w:rsidRDefault="00817A42" w:rsidP="00890A4B">
      <w:pPr>
        <w:spacing w:after="0" w:line="240" w:lineRule="auto"/>
        <w:rPr>
          <w:rFonts w:ascii="Calibri" w:hAnsi="Calibri" w:cs="Calibri"/>
          <w:sz w:val="22"/>
          <w:szCs w:val="22"/>
        </w:rPr>
      </w:pPr>
    </w:p>
    <w:p w14:paraId="037A4255" w14:textId="77777777" w:rsidR="00890A4B" w:rsidRDefault="00890A4B" w:rsidP="00890A4B">
      <w:pPr>
        <w:spacing w:after="0" w:line="240" w:lineRule="auto"/>
        <w:rPr>
          <w:rFonts w:ascii="Calibri" w:hAnsi="Calibri" w:cs="Calibri"/>
          <w:sz w:val="22"/>
          <w:szCs w:val="22"/>
        </w:rPr>
      </w:pPr>
    </w:p>
    <w:p w14:paraId="670BD4FF" w14:textId="0006909D" w:rsidR="0066749C" w:rsidRPr="00890A4B" w:rsidRDefault="0066749C" w:rsidP="00890A4B">
      <w:pPr>
        <w:spacing w:after="0" w:line="240" w:lineRule="auto"/>
        <w:rPr>
          <w:rFonts w:ascii="Calibri" w:hAnsi="Calibri" w:cs="Calibri"/>
          <w:sz w:val="22"/>
          <w:szCs w:val="22"/>
        </w:rPr>
      </w:pPr>
    </w:p>
    <w:sectPr w:rsidR="0066749C" w:rsidRPr="00890A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4AE4" w14:textId="77777777" w:rsidR="0028293A" w:rsidRDefault="0028293A" w:rsidP="00890A4B">
      <w:pPr>
        <w:spacing w:after="0" w:line="240" w:lineRule="auto"/>
      </w:pPr>
      <w:r>
        <w:separator/>
      </w:r>
    </w:p>
  </w:endnote>
  <w:endnote w:type="continuationSeparator" w:id="0">
    <w:p w14:paraId="62794650" w14:textId="77777777" w:rsidR="0028293A" w:rsidRDefault="0028293A" w:rsidP="0089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3FF4" w14:textId="77777777" w:rsidR="0028293A" w:rsidRDefault="0028293A" w:rsidP="00890A4B">
      <w:pPr>
        <w:spacing w:after="0" w:line="240" w:lineRule="auto"/>
      </w:pPr>
      <w:r>
        <w:separator/>
      </w:r>
    </w:p>
  </w:footnote>
  <w:footnote w:type="continuationSeparator" w:id="0">
    <w:p w14:paraId="10770278" w14:textId="77777777" w:rsidR="0028293A" w:rsidRDefault="0028293A" w:rsidP="00890A4B">
      <w:pPr>
        <w:spacing w:after="0" w:line="240" w:lineRule="auto"/>
      </w:pPr>
      <w:r>
        <w:continuationSeparator/>
      </w:r>
    </w:p>
  </w:footnote>
  <w:footnote w:id="1">
    <w:p w14:paraId="7839BA4E" w14:textId="17DC7579" w:rsidR="00890A4B" w:rsidRPr="00F17147" w:rsidRDefault="00890A4B" w:rsidP="00890A4B">
      <w:pPr>
        <w:spacing w:after="0" w:line="240" w:lineRule="auto"/>
        <w:rPr>
          <w:rFonts w:ascii="Calibri" w:hAnsi="Calibri" w:cs="Calibri"/>
          <w:i/>
          <w:iCs/>
          <w:color w:val="000000"/>
          <w:sz w:val="20"/>
          <w:szCs w:val="20"/>
        </w:rPr>
      </w:pPr>
      <w:r w:rsidRPr="00F17147">
        <w:rPr>
          <w:rStyle w:val="FootnoteReference"/>
          <w:rFonts w:ascii="Calibri" w:hAnsi="Calibri" w:cs="Calibri"/>
          <w:i/>
          <w:iCs/>
          <w:sz w:val="20"/>
          <w:szCs w:val="20"/>
        </w:rPr>
        <w:footnoteRef/>
      </w:r>
      <w:r w:rsidRPr="00F17147">
        <w:rPr>
          <w:rFonts w:ascii="Calibri" w:hAnsi="Calibri" w:cs="Calibri"/>
          <w:i/>
          <w:iCs/>
          <w:sz w:val="20"/>
          <w:szCs w:val="20"/>
        </w:rPr>
        <w:t xml:space="preserve"> </w:t>
      </w:r>
      <w:r w:rsidRPr="00F17147">
        <w:rPr>
          <w:rFonts w:ascii="Calibri" w:hAnsi="Calibri" w:cs="Calibri"/>
          <w:i/>
          <w:iCs/>
          <w:color w:val="000000"/>
          <w:sz w:val="20"/>
          <w:szCs w:val="20"/>
        </w:rPr>
        <w:t>WHO &amp; Brien Holden Vision Institute,</w:t>
      </w:r>
      <w:r w:rsidRPr="00F17147">
        <w:rPr>
          <w:rStyle w:val="apple-converted-space"/>
          <w:rFonts w:ascii="Calibri" w:hAnsi="Calibri" w:cs="Calibri"/>
          <w:i/>
          <w:iCs/>
          <w:color w:val="000000"/>
          <w:sz w:val="20"/>
          <w:szCs w:val="20"/>
        </w:rPr>
        <w:t> </w:t>
      </w:r>
      <w:r w:rsidRPr="00F17147">
        <w:rPr>
          <w:rStyle w:val="Emphasis"/>
          <w:rFonts w:ascii="Calibri" w:hAnsi="Calibri" w:cs="Calibri"/>
          <w:i w:val="0"/>
          <w:iCs w:val="0"/>
          <w:color w:val="000000"/>
          <w:sz w:val="20"/>
          <w:szCs w:val="20"/>
        </w:rPr>
        <w:t>Myopia: Impact Report</w:t>
      </w:r>
      <w:r w:rsidRPr="00F17147">
        <w:rPr>
          <w:rFonts w:ascii="Calibri" w:hAnsi="Calibri" w:cs="Calibri"/>
          <w:i/>
          <w:iCs/>
          <w:color w:val="000000"/>
          <w:sz w:val="20"/>
          <w:szCs w:val="20"/>
        </w:rPr>
        <w:t>, 2015.</w:t>
      </w:r>
    </w:p>
  </w:footnote>
  <w:footnote w:id="2">
    <w:p w14:paraId="4DF1131E" w14:textId="77777777" w:rsidR="00890A4B" w:rsidRPr="00F17147" w:rsidRDefault="00890A4B" w:rsidP="00890A4B">
      <w:pPr>
        <w:spacing w:after="0" w:line="240" w:lineRule="auto"/>
        <w:rPr>
          <w:rFonts w:ascii="Calibri" w:hAnsi="Calibri" w:cs="Calibri"/>
          <w:i/>
          <w:iCs/>
          <w:color w:val="000000"/>
          <w:sz w:val="20"/>
          <w:szCs w:val="20"/>
        </w:rPr>
      </w:pPr>
      <w:r w:rsidRPr="00F17147">
        <w:rPr>
          <w:rStyle w:val="FootnoteReference"/>
          <w:rFonts w:ascii="Calibri" w:hAnsi="Calibri" w:cs="Calibri"/>
          <w:i/>
          <w:iCs/>
          <w:sz w:val="20"/>
          <w:szCs w:val="20"/>
        </w:rPr>
        <w:footnoteRef/>
      </w:r>
      <w:r w:rsidRPr="00F17147">
        <w:rPr>
          <w:rFonts w:ascii="Calibri" w:hAnsi="Calibri" w:cs="Calibri"/>
          <w:i/>
          <w:iCs/>
          <w:sz w:val="20"/>
          <w:szCs w:val="20"/>
        </w:rPr>
        <w:t xml:space="preserve"> </w:t>
      </w:r>
      <w:r w:rsidRPr="00F17147">
        <w:rPr>
          <w:rFonts w:ascii="Calibri" w:hAnsi="Calibri" w:cs="Calibri"/>
          <w:i/>
          <w:iCs/>
          <w:color w:val="000000"/>
          <w:sz w:val="20"/>
          <w:szCs w:val="20"/>
        </w:rPr>
        <w:t>Read SA et al.</w:t>
      </w:r>
      <w:r w:rsidRPr="00F17147">
        <w:rPr>
          <w:rStyle w:val="apple-converted-space"/>
          <w:rFonts w:ascii="Calibri" w:hAnsi="Calibri" w:cs="Calibri"/>
          <w:i/>
          <w:iCs/>
          <w:color w:val="000000"/>
          <w:sz w:val="20"/>
          <w:szCs w:val="20"/>
        </w:rPr>
        <w:t> </w:t>
      </w:r>
      <w:r w:rsidRPr="00F17147">
        <w:rPr>
          <w:rStyle w:val="Emphasis"/>
          <w:rFonts w:ascii="Calibri" w:hAnsi="Calibri" w:cs="Calibri"/>
          <w:i w:val="0"/>
          <w:iCs w:val="0"/>
          <w:color w:val="000000"/>
          <w:sz w:val="20"/>
          <w:szCs w:val="20"/>
        </w:rPr>
        <w:t>Light Exposure and Eye Growth in Childhood.</w:t>
      </w:r>
      <w:r w:rsidRPr="00F17147">
        <w:rPr>
          <w:rStyle w:val="apple-converted-space"/>
          <w:rFonts w:ascii="Calibri" w:hAnsi="Calibri" w:cs="Calibri"/>
          <w:i/>
          <w:iCs/>
          <w:color w:val="000000"/>
          <w:sz w:val="20"/>
          <w:szCs w:val="20"/>
        </w:rPr>
        <w:t> </w:t>
      </w:r>
      <w:r w:rsidRPr="00F17147">
        <w:rPr>
          <w:rFonts w:ascii="Calibri" w:hAnsi="Calibri" w:cs="Calibri"/>
          <w:i/>
          <w:iCs/>
          <w:color w:val="000000"/>
          <w:sz w:val="20"/>
          <w:szCs w:val="20"/>
        </w:rPr>
        <w:t>IOVS. 2015;56(11):6779-6787.</w:t>
      </w:r>
    </w:p>
    <w:p w14:paraId="5E427BD7" w14:textId="34774EB9" w:rsidR="00890A4B" w:rsidRDefault="00890A4B">
      <w:pPr>
        <w:pStyle w:val="FootnoteText"/>
      </w:pPr>
    </w:p>
  </w:footnote>
  <w:footnote w:id="3">
    <w:p w14:paraId="60ED0954" w14:textId="4EF11F1A" w:rsidR="00890A4B" w:rsidRPr="00890A4B" w:rsidRDefault="00890A4B" w:rsidP="00890A4B">
      <w:pPr>
        <w:spacing w:after="0" w:line="240" w:lineRule="auto"/>
        <w:rPr>
          <w:rFonts w:ascii="Calibri" w:hAnsi="Calibri" w:cs="Calibri"/>
          <w:i/>
          <w:iCs/>
          <w:color w:val="000000"/>
          <w:sz w:val="20"/>
          <w:szCs w:val="20"/>
        </w:rPr>
      </w:pPr>
      <w:r w:rsidRPr="00890A4B">
        <w:rPr>
          <w:rStyle w:val="FootnoteReference"/>
          <w:rFonts w:ascii="Calibri" w:hAnsi="Calibri" w:cs="Calibri"/>
          <w:i/>
          <w:iCs/>
          <w:sz w:val="20"/>
          <w:szCs w:val="20"/>
        </w:rPr>
        <w:footnoteRef/>
      </w:r>
      <w:r w:rsidRPr="00890A4B">
        <w:rPr>
          <w:rFonts w:ascii="Calibri" w:hAnsi="Calibri" w:cs="Calibri"/>
          <w:i/>
          <w:iCs/>
          <w:sz w:val="20"/>
          <w:szCs w:val="20"/>
        </w:rPr>
        <w:t xml:space="preserve"> </w:t>
      </w:r>
      <w:r w:rsidRPr="00890A4B">
        <w:rPr>
          <w:rFonts w:ascii="Calibri" w:hAnsi="Calibri" w:cs="Calibri"/>
          <w:i/>
          <w:iCs/>
          <w:color w:val="000000"/>
          <w:sz w:val="20"/>
          <w:szCs w:val="20"/>
        </w:rPr>
        <w:t>CooperVision ANZ,</w:t>
      </w:r>
      <w:r w:rsidRPr="00890A4B">
        <w:rPr>
          <w:rStyle w:val="apple-converted-space"/>
          <w:rFonts w:ascii="Calibri" w:hAnsi="Calibri" w:cs="Calibri"/>
          <w:i/>
          <w:iCs/>
          <w:color w:val="000000"/>
          <w:sz w:val="20"/>
          <w:szCs w:val="20"/>
        </w:rPr>
        <w:t> </w:t>
      </w:r>
      <w:r w:rsidRPr="00890A4B">
        <w:rPr>
          <w:rStyle w:val="Emphasis"/>
          <w:rFonts w:ascii="Calibri" w:hAnsi="Calibri" w:cs="Calibri"/>
          <w:i w:val="0"/>
          <w:iCs w:val="0"/>
          <w:color w:val="000000"/>
          <w:sz w:val="20"/>
          <w:szCs w:val="20"/>
        </w:rPr>
        <w:t>Child Myopia in Australia – Consumer Perceptions Survey</w:t>
      </w:r>
      <w:r w:rsidRPr="00890A4B">
        <w:rPr>
          <w:rFonts w:ascii="Calibri" w:hAnsi="Calibri" w:cs="Calibri"/>
          <w:i/>
          <w:iCs/>
          <w:color w:val="000000"/>
          <w:sz w:val="20"/>
          <w:szCs w:val="20"/>
        </w:rPr>
        <w:t>, YouGovGalaxy, 2018.</w:t>
      </w:r>
    </w:p>
  </w:footnote>
  <w:footnote w:id="4">
    <w:p w14:paraId="4B625158" w14:textId="4B542F52" w:rsidR="00AC354E" w:rsidRPr="00835B62" w:rsidRDefault="00AC354E" w:rsidP="00AC354E">
      <w:pPr>
        <w:spacing w:after="0" w:line="240" w:lineRule="auto"/>
        <w:rPr>
          <w:rFonts w:cs="Calibri"/>
          <w:i/>
          <w:iCs/>
          <w:color w:val="000000"/>
          <w:sz w:val="20"/>
          <w:szCs w:val="20"/>
        </w:rPr>
      </w:pPr>
      <w:r w:rsidRPr="00835B62">
        <w:rPr>
          <w:rStyle w:val="FootnoteReference"/>
          <w:i/>
          <w:iCs/>
          <w:sz w:val="20"/>
          <w:szCs w:val="20"/>
        </w:rPr>
        <w:footnoteRef/>
      </w:r>
      <w:r w:rsidRPr="00835B62">
        <w:rPr>
          <w:rFonts w:cs="Calibri"/>
          <w:i/>
          <w:iCs/>
          <w:sz w:val="20"/>
          <w:szCs w:val="20"/>
        </w:rPr>
        <w:t xml:space="preserve"> </w:t>
      </w:r>
      <w:r w:rsidR="0017066F" w:rsidRPr="00835B62">
        <w:rPr>
          <w:rStyle w:val="Strong"/>
          <w:b w:val="0"/>
          <w:bCs w:val="0"/>
          <w:i/>
          <w:iCs/>
          <w:color w:val="000000"/>
          <w:sz w:val="20"/>
          <w:szCs w:val="20"/>
        </w:rPr>
        <w:t>He M, Xiang F, Zeng Y, Mai J, Chen Q, Zhang J, Smith W, Rose KA, Morgan IG.</w:t>
      </w:r>
      <w:r w:rsidR="0017066F" w:rsidRPr="0017066F">
        <w:rPr>
          <w:i/>
          <w:iCs/>
          <w:color w:val="000000"/>
          <w:sz w:val="20"/>
          <w:szCs w:val="20"/>
        </w:rPr>
        <w:t xml:space="preserve"> </w:t>
      </w:r>
      <w:r w:rsidR="0017066F" w:rsidRPr="00835B62">
        <w:rPr>
          <w:rStyle w:val="Strong"/>
          <w:b w:val="0"/>
          <w:bCs w:val="0"/>
          <w:i/>
          <w:iCs/>
          <w:color w:val="000000"/>
          <w:sz w:val="20"/>
          <w:szCs w:val="20"/>
        </w:rPr>
        <w:t>Effect of time spent outdoors at school on the development of myopia among children in China: A randomized clinical trial.</w:t>
      </w:r>
      <w:r w:rsidR="0017066F" w:rsidRPr="0017066F">
        <w:rPr>
          <w:i/>
          <w:iCs/>
          <w:color w:val="000000"/>
          <w:sz w:val="20"/>
          <w:szCs w:val="20"/>
        </w:rPr>
        <w:t xml:space="preserve"> </w:t>
      </w:r>
      <w:r w:rsidR="0017066F" w:rsidRPr="00835B62">
        <w:rPr>
          <w:rStyle w:val="Emphasis"/>
          <w:color w:val="000000"/>
          <w:sz w:val="20"/>
          <w:szCs w:val="20"/>
        </w:rPr>
        <w:t>JAMA</w:t>
      </w:r>
      <w:r w:rsidR="0017066F" w:rsidRPr="00835B62">
        <w:rPr>
          <w:i/>
          <w:iCs/>
          <w:color w:val="000000"/>
          <w:sz w:val="20"/>
          <w:szCs w:val="20"/>
        </w:rPr>
        <w:t>.</w:t>
      </w:r>
      <w:r w:rsidR="0017066F" w:rsidRPr="00835B62">
        <w:rPr>
          <w:rStyle w:val="apple-converted-space"/>
          <w:i/>
          <w:iCs/>
          <w:color w:val="000000"/>
          <w:sz w:val="20"/>
          <w:szCs w:val="20"/>
        </w:rPr>
        <w:t> </w:t>
      </w:r>
      <w:r w:rsidR="0017066F" w:rsidRPr="00835B62">
        <w:rPr>
          <w:rStyle w:val="Strong"/>
          <w:b w:val="0"/>
          <w:bCs w:val="0"/>
          <w:i/>
          <w:iCs/>
          <w:color w:val="000000"/>
          <w:sz w:val="20"/>
          <w:szCs w:val="20"/>
        </w:rPr>
        <w:t>2015</w:t>
      </w:r>
      <w:r w:rsidR="0017066F" w:rsidRPr="00835B62">
        <w:rPr>
          <w:i/>
          <w:iCs/>
          <w:color w:val="000000"/>
          <w:sz w:val="20"/>
          <w:szCs w:val="20"/>
        </w:rPr>
        <w:t>;314(11):1142–1148.</w:t>
      </w:r>
    </w:p>
  </w:footnote>
  <w:footnote w:id="5">
    <w:p w14:paraId="5DC91EB8" w14:textId="5AEEFA3A" w:rsidR="0017066F" w:rsidRPr="00835B62" w:rsidRDefault="0017066F">
      <w:pPr>
        <w:pStyle w:val="FootnoteText"/>
        <w:rPr>
          <w:i/>
          <w:iCs/>
        </w:rPr>
      </w:pPr>
      <w:r w:rsidRPr="00835B62">
        <w:rPr>
          <w:rStyle w:val="FootnoteReference"/>
          <w:i/>
          <w:iCs/>
        </w:rPr>
        <w:footnoteRef/>
      </w:r>
      <w:r w:rsidRPr="00835B62">
        <w:rPr>
          <w:i/>
          <w:iCs/>
        </w:rPr>
        <w:t xml:space="preserve">  </w:t>
      </w:r>
      <w:r w:rsidRPr="00835B62">
        <w:rPr>
          <w:i/>
          <w:iCs/>
          <w:color w:val="000000"/>
        </w:rPr>
        <w:t xml:space="preserve">Rose KA, Morgan IG, Ip J, </w:t>
      </w:r>
      <w:proofErr w:type="spellStart"/>
      <w:r w:rsidRPr="00835B62">
        <w:rPr>
          <w:i/>
          <w:iCs/>
          <w:color w:val="000000"/>
        </w:rPr>
        <w:t>Kifley</w:t>
      </w:r>
      <w:proofErr w:type="spellEnd"/>
      <w:r w:rsidRPr="00835B62">
        <w:rPr>
          <w:i/>
          <w:iCs/>
          <w:color w:val="000000"/>
        </w:rPr>
        <w:t xml:space="preserve"> A, Huynh S, Smith W, Mitchell P. (2008).</w:t>
      </w:r>
      <w:r w:rsidRPr="00835B62">
        <w:rPr>
          <w:rStyle w:val="Heading1Char"/>
          <w:rFonts w:asciiTheme="minorHAnsi" w:hAnsiTheme="minorHAnsi"/>
          <w:i/>
          <w:iCs/>
          <w:color w:val="000000"/>
          <w:sz w:val="20"/>
          <w:szCs w:val="20"/>
        </w:rPr>
        <w:t xml:space="preserve"> </w:t>
      </w:r>
      <w:r w:rsidRPr="00835B62">
        <w:rPr>
          <w:rStyle w:val="Strong"/>
          <w:b w:val="0"/>
          <w:bCs w:val="0"/>
          <w:i/>
          <w:iCs/>
          <w:color w:val="000000"/>
        </w:rPr>
        <w:t>Outdoor activity reduces the prevalence of myopia in children.</w:t>
      </w:r>
      <w:r w:rsidRPr="00835B62">
        <w:rPr>
          <w:rStyle w:val="apple-converted-space"/>
          <w:i/>
          <w:iCs/>
          <w:color w:val="000000"/>
        </w:rPr>
        <w:t> </w:t>
      </w:r>
      <w:r w:rsidRPr="0017066F">
        <w:rPr>
          <w:rStyle w:val="Emphasis"/>
          <w:color w:val="000000"/>
        </w:rPr>
        <w:t>Ophthalmology</w:t>
      </w:r>
      <w:r w:rsidRPr="00835B62">
        <w:rPr>
          <w:i/>
          <w:iCs/>
          <w:color w:val="000000"/>
        </w:rPr>
        <w:t>, 115(8), 1279–1285.</w:t>
      </w:r>
    </w:p>
  </w:footnote>
  <w:footnote w:id="6">
    <w:p w14:paraId="054AF5C6" w14:textId="77777777" w:rsidR="00890A4B" w:rsidRPr="00835B62" w:rsidRDefault="00890A4B" w:rsidP="00890A4B">
      <w:pPr>
        <w:spacing w:after="0" w:line="240" w:lineRule="auto"/>
        <w:rPr>
          <w:rFonts w:cs="Calibri"/>
          <w:i/>
          <w:iCs/>
          <w:color w:val="000000"/>
          <w:sz w:val="20"/>
          <w:szCs w:val="20"/>
        </w:rPr>
      </w:pPr>
      <w:r w:rsidRPr="00835B62">
        <w:rPr>
          <w:rStyle w:val="FootnoteReference"/>
          <w:rFonts w:cs="Calibri"/>
          <w:i/>
          <w:iCs/>
          <w:sz w:val="20"/>
          <w:szCs w:val="20"/>
        </w:rPr>
        <w:footnoteRef/>
      </w:r>
      <w:r w:rsidRPr="00835B62">
        <w:rPr>
          <w:rFonts w:cs="Calibri"/>
          <w:i/>
          <w:iCs/>
          <w:sz w:val="20"/>
          <w:szCs w:val="20"/>
        </w:rPr>
        <w:t xml:space="preserve"> </w:t>
      </w:r>
      <w:r w:rsidRPr="00835B62">
        <w:rPr>
          <w:rFonts w:cs="Calibri"/>
          <w:i/>
          <w:iCs/>
          <w:color w:val="000000"/>
          <w:sz w:val="20"/>
          <w:szCs w:val="20"/>
        </w:rPr>
        <w:t>Ip JM et al.</w:t>
      </w:r>
      <w:r w:rsidRPr="00835B62">
        <w:rPr>
          <w:rStyle w:val="apple-converted-space"/>
          <w:rFonts w:cs="Calibri"/>
          <w:i/>
          <w:iCs/>
          <w:color w:val="000000"/>
          <w:sz w:val="20"/>
          <w:szCs w:val="20"/>
        </w:rPr>
        <w:t> </w:t>
      </w:r>
      <w:r w:rsidRPr="00835B62">
        <w:rPr>
          <w:rStyle w:val="Emphasis"/>
          <w:rFonts w:cs="Calibri"/>
          <w:color w:val="000000"/>
          <w:sz w:val="20"/>
          <w:szCs w:val="20"/>
        </w:rPr>
        <w:t>Role of Near Work in Myopia.</w:t>
      </w:r>
      <w:r w:rsidRPr="00835B62">
        <w:rPr>
          <w:rStyle w:val="apple-converted-space"/>
          <w:rFonts w:cs="Calibri"/>
          <w:i/>
          <w:iCs/>
          <w:color w:val="000000"/>
          <w:sz w:val="20"/>
          <w:szCs w:val="20"/>
        </w:rPr>
        <w:t> </w:t>
      </w:r>
      <w:r w:rsidRPr="00835B62">
        <w:rPr>
          <w:rFonts w:cs="Calibri"/>
          <w:i/>
          <w:iCs/>
          <w:color w:val="000000"/>
          <w:sz w:val="20"/>
          <w:szCs w:val="20"/>
        </w:rPr>
        <w:t>IOVS. 2008;49(7):2903-2910.</w:t>
      </w:r>
    </w:p>
    <w:p w14:paraId="0EB946D4" w14:textId="27C35C23" w:rsidR="00890A4B" w:rsidRPr="00835B62" w:rsidRDefault="00890A4B">
      <w:pPr>
        <w:pStyle w:val="FootnoteText"/>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19B"/>
    <w:multiLevelType w:val="hybridMultilevel"/>
    <w:tmpl w:val="9C7C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03376"/>
    <w:multiLevelType w:val="hybridMultilevel"/>
    <w:tmpl w:val="EC041AA4"/>
    <w:numStyleLink w:val="ImportedStyle2"/>
  </w:abstractNum>
  <w:abstractNum w:abstractNumId="2" w15:restartNumberingAfterBreak="0">
    <w:nsid w:val="26CB6EB4"/>
    <w:multiLevelType w:val="multilevel"/>
    <w:tmpl w:val="D9F4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C3E2F"/>
    <w:multiLevelType w:val="hybridMultilevel"/>
    <w:tmpl w:val="BB509CBA"/>
    <w:lvl w:ilvl="0" w:tplc="9998F676">
      <w:start w:val="7"/>
      <w:numFmt w:val="decimal"/>
      <w:lvlText w:val="%1"/>
      <w:lvlJc w:val="left"/>
      <w:pPr>
        <w:ind w:left="720" w:hanging="360"/>
      </w:pPr>
      <w:rPr>
        <w:rFonts w:eastAsiaTheme="minorHAnsi"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517D6A"/>
    <w:multiLevelType w:val="multilevel"/>
    <w:tmpl w:val="5CC66F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43BD3"/>
    <w:multiLevelType w:val="multilevel"/>
    <w:tmpl w:val="A0A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90E97"/>
    <w:multiLevelType w:val="hybridMultilevel"/>
    <w:tmpl w:val="DEDEAE70"/>
    <w:styleLink w:val="ImportedStyle1"/>
    <w:lvl w:ilvl="0" w:tplc="81A62B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D89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C6D2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6A57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36C5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0A62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1C7B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C01B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F47E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395166A"/>
    <w:multiLevelType w:val="hybridMultilevel"/>
    <w:tmpl w:val="6B4EFEC8"/>
    <w:lvl w:ilvl="0" w:tplc="F2D4786C">
      <w:start w:val="1"/>
      <w:numFmt w:val="decimal"/>
      <w:lvlText w:val="%1)"/>
      <w:lvlJc w:val="left"/>
      <w:pPr>
        <w:ind w:left="720" w:hanging="360"/>
      </w:pPr>
      <w:rPr>
        <w:rFonts w:eastAsiaTheme="minorHAnsi"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9C170C"/>
    <w:multiLevelType w:val="multilevel"/>
    <w:tmpl w:val="940A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52881"/>
    <w:multiLevelType w:val="hybridMultilevel"/>
    <w:tmpl w:val="DEDEAE70"/>
    <w:numStyleLink w:val="ImportedStyle1"/>
  </w:abstractNum>
  <w:abstractNum w:abstractNumId="10" w15:restartNumberingAfterBreak="0">
    <w:nsid w:val="7510457B"/>
    <w:multiLevelType w:val="hybridMultilevel"/>
    <w:tmpl w:val="A45E3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93550"/>
    <w:multiLevelType w:val="hybridMultilevel"/>
    <w:tmpl w:val="EC041AA4"/>
    <w:styleLink w:val="ImportedStyle2"/>
    <w:lvl w:ilvl="0" w:tplc="851271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2A8ED6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D8EC5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32CA8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83E1A2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75A10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7D2C69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CAC7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09C32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7D5279DD"/>
    <w:multiLevelType w:val="multilevel"/>
    <w:tmpl w:val="B352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967936">
    <w:abstractNumId w:val="10"/>
  </w:num>
  <w:num w:numId="2" w16cid:durableId="1180657403">
    <w:abstractNumId w:val="7"/>
  </w:num>
  <w:num w:numId="3" w16cid:durableId="238491023">
    <w:abstractNumId w:val="3"/>
  </w:num>
  <w:num w:numId="4" w16cid:durableId="1489708374">
    <w:abstractNumId w:val="6"/>
  </w:num>
  <w:num w:numId="5" w16cid:durableId="2075739716">
    <w:abstractNumId w:val="9"/>
  </w:num>
  <w:num w:numId="6" w16cid:durableId="1150713159">
    <w:abstractNumId w:val="11"/>
  </w:num>
  <w:num w:numId="7" w16cid:durableId="1355616804">
    <w:abstractNumId w:val="1"/>
  </w:num>
  <w:num w:numId="8" w16cid:durableId="1054617101">
    <w:abstractNumId w:val="5"/>
  </w:num>
  <w:num w:numId="9" w16cid:durableId="728916480">
    <w:abstractNumId w:val="4"/>
  </w:num>
  <w:num w:numId="10" w16cid:durableId="1048337780">
    <w:abstractNumId w:val="0"/>
  </w:num>
  <w:num w:numId="11" w16cid:durableId="1374578207">
    <w:abstractNumId w:val="2"/>
  </w:num>
  <w:num w:numId="12" w16cid:durableId="871842699">
    <w:abstractNumId w:val="12"/>
  </w:num>
  <w:num w:numId="13" w16cid:durableId="353463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8E"/>
    <w:rsid w:val="000333A6"/>
    <w:rsid w:val="000536BA"/>
    <w:rsid w:val="00101187"/>
    <w:rsid w:val="0017066F"/>
    <w:rsid w:val="001763EC"/>
    <w:rsid w:val="00202A30"/>
    <w:rsid w:val="0024011A"/>
    <w:rsid w:val="00251673"/>
    <w:rsid w:val="0028293A"/>
    <w:rsid w:val="00303432"/>
    <w:rsid w:val="003545AC"/>
    <w:rsid w:val="003A3131"/>
    <w:rsid w:val="00455229"/>
    <w:rsid w:val="00457B2F"/>
    <w:rsid w:val="00515461"/>
    <w:rsid w:val="00654798"/>
    <w:rsid w:val="0066749C"/>
    <w:rsid w:val="006E4083"/>
    <w:rsid w:val="00713C69"/>
    <w:rsid w:val="00817A42"/>
    <w:rsid w:val="00835B62"/>
    <w:rsid w:val="00890A4B"/>
    <w:rsid w:val="009A6D3C"/>
    <w:rsid w:val="00A4275A"/>
    <w:rsid w:val="00A604DB"/>
    <w:rsid w:val="00AA00A9"/>
    <w:rsid w:val="00AC354E"/>
    <w:rsid w:val="00AD2232"/>
    <w:rsid w:val="00B07F46"/>
    <w:rsid w:val="00B41C04"/>
    <w:rsid w:val="00BE4E42"/>
    <w:rsid w:val="00D1408E"/>
    <w:rsid w:val="00D15F13"/>
    <w:rsid w:val="00D52B22"/>
    <w:rsid w:val="00E05115"/>
    <w:rsid w:val="00EF0F19"/>
    <w:rsid w:val="00F17147"/>
    <w:rsid w:val="00FB1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F13A"/>
  <w15:chartTrackingRefBased/>
  <w15:docId w15:val="{CBA10B57-FE95-A64D-ADE2-0BB1D829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8E"/>
  </w:style>
  <w:style w:type="paragraph" w:styleId="Heading1">
    <w:name w:val="heading 1"/>
    <w:basedOn w:val="Normal"/>
    <w:next w:val="Normal"/>
    <w:link w:val="Heading1Char"/>
    <w:uiPriority w:val="9"/>
    <w:qFormat/>
    <w:rsid w:val="00D1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4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4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08E"/>
    <w:rPr>
      <w:rFonts w:eastAsiaTheme="majorEastAsia" w:cstheme="majorBidi"/>
      <w:color w:val="272727" w:themeColor="text1" w:themeTint="D8"/>
    </w:rPr>
  </w:style>
  <w:style w:type="paragraph" w:styleId="Title">
    <w:name w:val="Title"/>
    <w:basedOn w:val="Normal"/>
    <w:next w:val="Normal"/>
    <w:link w:val="TitleChar"/>
    <w:uiPriority w:val="10"/>
    <w:qFormat/>
    <w:rsid w:val="00D1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08E"/>
    <w:pPr>
      <w:spacing w:before="160"/>
      <w:jc w:val="center"/>
    </w:pPr>
    <w:rPr>
      <w:i/>
      <w:iCs/>
      <w:color w:val="404040" w:themeColor="text1" w:themeTint="BF"/>
    </w:rPr>
  </w:style>
  <w:style w:type="character" w:customStyle="1" w:styleId="QuoteChar">
    <w:name w:val="Quote Char"/>
    <w:basedOn w:val="DefaultParagraphFont"/>
    <w:link w:val="Quote"/>
    <w:uiPriority w:val="29"/>
    <w:rsid w:val="00D1408E"/>
    <w:rPr>
      <w:i/>
      <w:iCs/>
      <w:color w:val="404040" w:themeColor="text1" w:themeTint="BF"/>
    </w:rPr>
  </w:style>
  <w:style w:type="paragraph" w:styleId="ListParagraph">
    <w:name w:val="List Paragraph"/>
    <w:basedOn w:val="Normal"/>
    <w:uiPriority w:val="34"/>
    <w:qFormat/>
    <w:rsid w:val="00D1408E"/>
    <w:pPr>
      <w:ind w:left="720"/>
      <w:contextualSpacing/>
    </w:pPr>
  </w:style>
  <w:style w:type="character" w:styleId="IntenseEmphasis">
    <w:name w:val="Intense Emphasis"/>
    <w:basedOn w:val="DefaultParagraphFont"/>
    <w:uiPriority w:val="21"/>
    <w:qFormat/>
    <w:rsid w:val="00D1408E"/>
    <w:rPr>
      <w:i/>
      <w:iCs/>
      <w:color w:val="0F4761" w:themeColor="accent1" w:themeShade="BF"/>
    </w:rPr>
  </w:style>
  <w:style w:type="paragraph" w:styleId="IntenseQuote">
    <w:name w:val="Intense Quote"/>
    <w:basedOn w:val="Normal"/>
    <w:next w:val="Normal"/>
    <w:link w:val="IntenseQuoteChar"/>
    <w:uiPriority w:val="30"/>
    <w:qFormat/>
    <w:rsid w:val="00D1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08E"/>
    <w:rPr>
      <w:i/>
      <w:iCs/>
      <w:color w:val="0F4761" w:themeColor="accent1" w:themeShade="BF"/>
    </w:rPr>
  </w:style>
  <w:style w:type="character" w:styleId="IntenseReference">
    <w:name w:val="Intense Reference"/>
    <w:basedOn w:val="DefaultParagraphFont"/>
    <w:uiPriority w:val="32"/>
    <w:qFormat/>
    <w:rsid w:val="00D1408E"/>
    <w:rPr>
      <w:b/>
      <w:bCs/>
      <w:smallCaps/>
      <w:color w:val="0F4761" w:themeColor="accent1" w:themeShade="BF"/>
      <w:spacing w:val="5"/>
    </w:rPr>
  </w:style>
  <w:style w:type="character" w:styleId="Emphasis">
    <w:name w:val="Emphasis"/>
    <w:basedOn w:val="DefaultParagraphFont"/>
    <w:uiPriority w:val="20"/>
    <w:qFormat/>
    <w:rsid w:val="00D1408E"/>
    <w:rPr>
      <w:i/>
      <w:iCs/>
    </w:rPr>
  </w:style>
  <w:style w:type="paragraph" w:styleId="NormalWeb">
    <w:name w:val="Normal (Web)"/>
    <w:basedOn w:val="Normal"/>
    <w:uiPriority w:val="99"/>
    <w:unhideWhenUsed/>
    <w:rsid w:val="00D140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Body">
    <w:name w:val="Body"/>
    <w:rsid w:val="00D1408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character" w:customStyle="1" w:styleId="Link">
    <w:name w:val="Link"/>
    <w:rsid w:val="00D1408E"/>
    <w:rPr>
      <w:outline w:val="0"/>
      <w:color w:val="0563C1"/>
      <w:u w:val="single" w:color="0563C1"/>
    </w:rPr>
  </w:style>
  <w:style w:type="numbering" w:customStyle="1" w:styleId="ImportedStyle1">
    <w:name w:val="Imported Style 1"/>
    <w:rsid w:val="00D1408E"/>
    <w:pPr>
      <w:numPr>
        <w:numId w:val="4"/>
      </w:numPr>
    </w:pPr>
  </w:style>
  <w:style w:type="numbering" w:customStyle="1" w:styleId="ImportedStyle2">
    <w:name w:val="Imported Style 2"/>
    <w:rsid w:val="00D1408E"/>
    <w:pPr>
      <w:numPr>
        <w:numId w:val="6"/>
      </w:numPr>
    </w:pPr>
  </w:style>
  <w:style w:type="character" w:customStyle="1" w:styleId="Hyperlink0">
    <w:name w:val="Hyperlink.0"/>
    <w:basedOn w:val="Link"/>
    <w:rsid w:val="00D1408E"/>
    <w:rPr>
      <w:rFonts w:ascii="Calibri" w:eastAsia="Calibri" w:hAnsi="Calibri" w:cs="Calibri"/>
      <w:outline w:val="0"/>
      <w:color w:val="0563C1"/>
      <w:sz w:val="22"/>
      <w:szCs w:val="22"/>
      <w:u w:val="single" w:color="0563C1"/>
    </w:rPr>
  </w:style>
  <w:style w:type="character" w:styleId="Strong">
    <w:name w:val="Strong"/>
    <w:basedOn w:val="DefaultParagraphFont"/>
    <w:uiPriority w:val="22"/>
    <w:qFormat/>
    <w:rsid w:val="00D1408E"/>
    <w:rPr>
      <w:b/>
      <w:bCs/>
    </w:rPr>
  </w:style>
  <w:style w:type="character" w:customStyle="1" w:styleId="apple-converted-space">
    <w:name w:val="apple-converted-space"/>
    <w:basedOn w:val="DefaultParagraphFont"/>
    <w:rsid w:val="00D1408E"/>
  </w:style>
  <w:style w:type="character" w:styleId="Hyperlink">
    <w:name w:val="Hyperlink"/>
    <w:basedOn w:val="DefaultParagraphFont"/>
    <w:uiPriority w:val="99"/>
    <w:semiHidden/>
    <w:unhideWhenUsed/>
    <w:rsid w:val="00D1408E"/>
    <w:rPr>
      <w:color w:val="0000FF"/>
      <w:u w:val="single"/>
    </w:rPr>
  </w:style>
  <w:style w:type="paragraph" w:styleId="FootnoteText">
    <w:name w:val="footnote text"/>
    <w:basedOn w:val="Normal"/>
    <w:link w:val="FootnoteTextChar"/>
    <w:uiPriority w:val="99"/>
    <w:semiHidden/>
    <w:unhideWhenUsed/>
    <w:rsid w:val="00890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A4B"/>
    <w:rPr>
      <w:sz w:val="20"/>
      <w:szCs w:val="20"/>
    </w:rPr>
  </w:style>
  <w:style w:type="character" w:styleId="FootnoteReference">
    <w:name w:val="footnote reference"/>
    <w:basedOn w:val="DefaultParagraphFont"/>
    <w:uiPriority w:val="99"/>
    <w:unhideWhenUsed/>
    <w:rsid w:val="00890A4B"/>
    <w:rPr>
      <w:vertAlign w:val="superscript"/>
    </w:rPr>
  </w:style>
  <w:style w:type="paragraph" w:styleId="Revision">
    <w:name w:val="Revision"/>
    <w:hidden/>
    <w:uiPriority w:val="99"/>
    <w:semiHidden/>
    <w:rsid w:val="00BE4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3607">
      <w:bodyDiv w:val="1"/>
      <w:marLeft w:val="0"/>
      <w:marRight w:val="0"/>
      <w:marTop w:val="0"/>
      <w:marBottom w:val="0"/>
      <w:divBdr>
        <w:top w:val="none" w:sz="0" w:space="0" w:color="auto"/>
        <w:left w:val="none" w:sz="0" w:space="0" w:color="auto"/>
        <w:bottom w:val="none" w:sz="0" w:space="0" w:color="auto"/>
        <w:right w:val="none" w:sz="0" w:space="0" w:color="auto"/>
      </w:divBdr>
    </w:div>
    <w:div w:id="915094251">
      <w:bodyDiv w:val="1"/>
      <w:marLeft w:val="0"/>
      <w:marRight w:val="0"/>
      <w:marTop w:val="0"/>
      <w:marBottom w:val="0"/>
      <w:divBdr>
        <w:top w:val="none" w:sz="0" w:space="0" w:color="auto"/>
        <w:left w:val="none" w:sz="0" w:space="0" w:color="auto"/>
        <w:bottom w:val="none" w:sz="0" w:space="0" w:color="auto"/>
        <w:right w:val="none" w:sz="0" w:space="0" w:color="auto"/>
      </w:divBdr>
      <w:divsChild>
        <w:div w:id="364714521">
          <w:marLeft w:val="0"/>
          <w:marRight w:val="0"/>
          <w:marTop w:val="0"/>
          <w:marBottom w:val="0"/>
          <w:divBdr>
            <w:top w:val="none" w:sz="0" w:space="0" w:color="auto"/>
            <w:left w:val="none" w:sz="0" w:space="0" w:color="auto"/>
            <w:bottom w:val="none" w:sz="0" w:space="0" w:color="auto"/>
            <w:right w:val="none" w:sz="0" w:space="0" w:color="auto"/>
          </w:divBdr>
          <w:divsChild>
            <w:div w:id="810370487">
              <w:marLeft w:val="0"/>
              <w:marRight w:val="0"/>
              <w:marTop w:val="0"/>
              <w:marBottom w:val="0"/>
              <w:divBdr>
                <w:top w:val="none" w:sz="0" w:space="0" w:color="auto"/>
                <w:left w:val="none" w:sz="0" w:space="0" w:color="auto"/>
                <w:bottom w:val="none" w:sz="0" w:space="0" w:color="auto"/>
                <w:right w:val="none" w:sz="0" w:space="0" w:color="auto"/>
              </w:divBdr>
              <w:divsChild>
                <w:div w:id="201720396">
                  <w:marLeft w:val="0"/>
                  <w:marRight w:val="0"/>
                  <w:marTop w:val="0"/>
                  <w:marBottom w:val="0"/>
                  <w:divBdr>
                    <w:top w:val="none" w:sz="0" w:space="0" w:color="auto"/>
                    <w:left w:val="none" w:sz="0" w:space="0" w:color="auto"/>
                    <w:bottom w:val="none" w:sz="0" w:space="0" w:color="auto"/>
                    <w:right w:val="none" w:sz="0" w:space="0" w:color="auto"/>
                  </w:divBdr>
                  <w:divsChild>
                    <w:div w:id="14483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2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ldmyop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Emma Norgrove</cp:lastModifiedBy>
  <cp:revision>3</cp:revision>
  <dcterms:created xsi:type="dcterms:W3CDTF">2025-09-25T04:28:00Z</dcterms:created>
  <dcterms:modified xsi:type="dcterms:W3CDTF">2025-09-25T04:28:00Z</dcterms:modified>
</cp:coreProperties>
</file>